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png" ContentType="image/png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webSettings.xml" ContentType="application/vnd.openxmlformats-officedocument.wordprocessingml.webSettings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ve="http://schemas.openxmlformats.org/markup-compatibility/2006" xmlns:w="http://schemas.openxmlformats.org/wordprocessingml/2006/main" xmlns:w10="urn:schemas-microsoft-com:office:word" xmlns:wne="http://schemas.microsoft.com/office/word/2006/wordml">
  <w:body>
    <w:tbl>
      <w:tblPr>
        <w:tblStyle w:val="TableStyle0"/>
        <w:tblW w:w="0" w:type="auto"/>
        <w:tblLayout w:type="fixed"/>
        <w:tblLook w:val="04A0"/>
      </w:tblPr>
      <w:tblGrid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</w:tblGrid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Техническое задание по Лоту №1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По открытому запросу предложений  № 159 164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Для нужд: АО "Газпром газораспределение Белгород"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578" w:type="dxa"/>
            <w:vMerge w:val="restart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restart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ОКДП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ОКВЭД</w:t>
            </w:r>
          </w:p>
        </w:tc>
      </w:tr>
      <w:tr>
        <w:trPr>
          <w:trHeight w:val="300" w:hRule="atLeast"/>
        </w:trPr>
        <w:tc>
          <w:tcPr>
            <w:tcW w:w="578" w:type="dxa"/>
            <w:vMerge w:val="continue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continue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№</w:t>
              <w:br/>
              <w:t>
п/п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 предмета закупки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Ед.</w:t>
              <w:br/>
              <w:t>
изм.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Колич</w:t>
              <w:br/>
              <w:t>
ество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Допустимость аналога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Грузополучатель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Место (адрес) поставки товара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Пункт редуцирования газа шкафной ШБДГ-100-2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Пункт редуцирования газа шкафной ШБДГ-100-2</w:t>
              <w:br/>
              <w:t>
Изготовитель:  ОАО «КЗТМ»  г. Кайспийск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Пункт редуцирования газа шкафной ШБДГ-400-2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Пункт редуцирования газа шкафной ШБДГ-400-2</w:t>
              <w:br/>
              <w:t>
Изготовитель:  ОАО «КЗТМ»  г. Кайспийск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Пункт редуцирования газа шкафной ШБДГ-800-2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Пункт редуцирования газа шкафной ШБДГ-800-2</w:t>
              <w:br/>
              <w:t>
Изготовитель:  ОАО «КЗТМ»  г. Кайспийск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поставки товаров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Грузополучатель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АО "Газпром газораспределение Белгород"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Место (адрес)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308017, г. Белгород, ул. Разуменская, 1 (Территория  базы ГНС)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Срок (период)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От 60 до 65 календарных дней с даты заключения договора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3.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проведения закупочной процедуры.</w:t>
            </w:r>
          </w:p>
        </w:tc>
      </w:tr>
      <w:tr>
        <w:trPr>
          <w:trHeight w:val="84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не освобожденных от уплаты НДС (с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2 770 876,00</w:t>
            </w:r>
          </w:p>
        </w:tc>
        <w:tc>
          <w:tcPr>
            <w:tcW w:w="2312" w:type="dxa"/>
            <w:vMerge w:val="restart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restart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</w:t>
            </w:r>
          </w:p>
        </w:tc>
      </w:tr>
      <w:tr>
        <w:trPr>
          <w:trHeight w:val="30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В том числе НДС,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422 676,00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</w:t>
            </w:r>
          </w:p>
        </w:tc>
      </w:tr>
      <w:tr>
        <w:trPr>
          <w:trHeight w:val="138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НДС (без 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2 348 200,00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</w:t>
            </w:r>
          </w:p>
        </w:tc>
      </w:tr>
      <w:tr>
        <w:trPr>
          <w:trHeight w:val="840" w:hRule="atLeast"/>
        </w:trPr>
        <w:tc>
          <w:tcPr>
            <w:tcW w:w="6647" w:type="dxa"/>
            <w:gridSpan w:val="2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Обязательное требование к условиям оплаты товара </w:t>
            </w:r>
          </w:p>
        </w:tc>
        <w:tc>
          <w:tcPr>
            <w:tcW w:w="7803" w:type="dxa"/>
            <w:gridSpan w:val="2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Оплата за поставленный Товар в размере 100% осуществляется Покупателем в течение 30 (тридцати) календарных дней с даты подписания уполномоченными представителями сторон товарной накладной ТОРГ-12, акт приема-передачи.</w:t>
            </w:r>
          </w:p>
        </w:tc>
      </w:tr>
    </w:tbl>
    <w:sectPr>
      <w:pgSz w:w="16839" w:h="11907" w:orient="landscape"/>
      <w:pgMar w:top="567" w:right="567" w:bottom="567" w:left="567"/>
    </w:sectPr>
  </w:body>
</w:document>
</file>

<file path=word/settings.xml><?xml version="1.0" encoding="utf-8"?>
<w:settings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view w:val="web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style w:type="table" w:styleId="TableStyle0">
    <w:name w:val="TableStyle0"/>
    <w:pPr>
      <w:spacing w:after="0" w:line="240" w:lineRule="auto"/>
    </w:pPr>
    <w:rPr>
      <w:rFonts w:ascii="Arial" w:hAnsi="Arial"/>
      <w:sz w:val="16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settings" Target="settings.xml"/>
	<Relationship Id="rId8" Type="http://schemas.openxmlformats.org/officeDocument/2006/relationships/header" Target="header1.xml"/>
	<Relationship Id="rId9" Type="http://schemas.openxmlformats.org/officeDocument/2006/relationships/footer" Target="footer1.xml"/>
	<Relationship Id="rId10" Type="http://schemas.openxmlformats.org/officeDocument/2006/relationships/header" Target="header2.xml"/>
	<Relationship Id="rId11" Type="http://schemas.openxmlformats.org/officeDocument/2006/relationships/footer" Target="footer2.xml"/>
</Relationships>
</file>